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8B01" w14:textId="68E6CDC7" w:rsidR="00582FE6" w:rsidRDefault="006669C8" w:rsidP="00A22436">
      <w:pPr>
        <w:pStyle w:val="Subtitle"/>
        <w:spacing w:before="120" w:after="120"/>
      </w:pPr>
      <w:bookmarkStart w:id="0" w:name="_Toc96676407"/>
      <w:bookmarkStart w:id="1" w:name="_Toc96497489"/>
      <w:r>
        <w:t>Open Scholarship at the University of Melbourne</w:t>
      </w:r>
    </w:p>
    <w:bookmarkEnd w:id="0"/>
    <w:bookmarkEnd w:id="1"/>
    <w:p w14:paraId="5A1C0255" w14:textId="49BBB590" w:rsidR="00582FE6" w:rsidRDefault="007D4C6D" w:rsidP="00A22436">
      <w:pPr>
        <w:pStyle w:val="Title"/>
        <w:spacing w:after="120"/>
      </w:pPr>
      <w:r>
        <w:t>Clinical Trials</w:t>
      </w:r>
      <w:r>
        <w:br/>
      </w:r>
      <w:r w:rsidR="00B95EAD" w:rsidRPr="00B95EAD">
        <w:rPr>
          <w:sz w:val="44"/>
          <w:szCs w:val="44"/>
        </w:rPr>
        <w:t xml:space="preserve">Preregistration, Part </w:t>
      </w:r>
      <w:r>
        <w:rPr>
          <w:sz w:val="44"/>
          <w:szCs w:val="44"/>
        </w:rPr>
        <w:t>2</w:t>
      </w:r>
    </w:p>
    <w:p w14:paraId="43513380" w14:textId="01B47E1F" w:rsidR="00C715B7" w:rsidRPr="00C715B7" w:rsidRDefault="00A22436" w:rsidP="00C715B7">
      <w:pPr>
        <w:pStyle w:val="Subtitle"/>
        <w:spacing w:before="120" w:after="120"/>
      </w:pPr>
      <w:r w:rsidRPr="00C715B7">
        <w:rPr>
          <w:b/>
          <w:bCs/>
        </w:rPr>
        <w:t>Video transcript</w:t>
      </w:r>
      <w:r w:rsidR="00C715B7" w:rsidRPr="00C715B7">
        <w:rPr>
          <w:b/>
          <w:bCs/>
        </w:rPr>
        <w:br/>
      </w:r>
      <w:r w:rsidR="00C715B7">
        <w:t>6 February 2023</w:t>
      </w:r>
    </w:p>
    <w:p w14:paraId="16DFAE1E" w14:textId="77777777" w:rsidR="00582FE6" w:rsidRDefault="00582FE6" w:rsidP="00B95EAD">
      <w:pPr>
        <w:keepNext/>
        <w:rPr>
          <w:rFonts w:asciiTheme="minorHAnsi" w:hAnsiTheme="minorHAnsi" w:cstheme="minorHAnsi"/>
        </w:rPr>
      </w:pPr>
    </w:p>
    <w:p w14:paraId="6FFB6FF5" w14:textId="0E001343" w:rsidR="00CE3767" w:rsidRPr="00CE3767" w:rsidRDefault="00A21B19" w:rsidP="00CE3767">
      <w:pPr>
        <w:pStyle w:val="Heading1"/>
      </w:pPr>
      <w:r>
        <w:t>Clinical Trial Registration</w:t>
      </w:r>
    </w:p>
    <w:p w14:paraId="465BF210" w14:textId="66632D55" w:rsidR="0006306F" w:rsidRPr="0006306F" w:rsidRDefault="0006306F" w:rsidP="00A21B19">
      <w:pPr>
        <w:rPr>
          <w:rFonts w:asciiTheme="minorHAnsi" w:hAnsiTheme="minorHAnsi" w:cstheme="minorHAnsi"/>
        </w:rPr>
      </w:pPr>
      <w:r w:rsidRPr="0006306F">
        <w:rPr>
          <w:rFonts w:asciiTheme="minorHAnsi" w:hAnsiTheme="minorHAnsi" w:cstheme="minorHAnsi"/>
        </w:rPr>
        <w:t>A specific kind of</w:t>
      </w:r>
      <w:r w:rsidR="00A21B19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preregistration worth highlighting</w:t>
      </w:r>
      <w:r w:rsidR="00A21B19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is that of clinical trials.</w:t>
      </w:r>
    </w:p>
    <w:p w14:paraId="699E9A36" w14:textId="62798E38" w:rsidR="0006306F" w:rsidRPr="0006306F" w:rsidRDefault="0006306F" w:rsidP="00A21B19">
      <w:pPr>
        <w:rPr>
          <w:rFonts w:asciiTheme="minorHAnsi" w:hAnsiTheme="minorHAnsi" w:cstheme="minorHAnsi"/>
        </w:rPr>
      </w:pPr>
      <w:r w:rsidRPr="0006306F">
        <w:rPr>
          <w:rFonts w:asciiTheme="minorHAnsi" w:hAnsiTheme="minorHAnsi" w:cstheme="minorHAnsi"/>
        </w:rPr>
        <w:t>The public preregistration</w:t>
      </w:r>
      <w:r w:rsidR="00A21B19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of clinical trials</w:t>
      </w:r>
      <w:r w:rsidR="00A21B19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is mandated in many countries.</w:t>
      </w:r>
    </w:p>
    <w:p w14:paraId="72EB6059" w14:textId="4BFBA5D6" w:rsidR="0006306F" w:rsidRPr="0006306F" w:rsidRDefault="0006306F" w:rsidP="009036CE">
      <w:pPr>
        <w:rPr>
          <w:rFonts w:asciiTheme="minorHAnsi" w:hAnsiTheme="minorHAnsi" w:cstheme="minorHAnsi"/>
        </w:rPr>
      </w:pPr>
      <w:r w:rsidRPr="0006306F">
        <w:rPr>
          <w:rFonts w:asciiTheme="minorHAnsi" w:hAnsiTheme="minorHAnsi" w:cstheme="minorHAnsi"/>
        </w:rPr>
        <w:t>Here in Australia,</w:t>
      </w:r>
      <w:r w:rsidR="00A21B19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the National Statement on Ethical</w:t>
      </w:r>
      <w:r w:rsidR="00A21B19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Conduct in Human Research</w:t>
      </w:r>
      <w:r w:rsidR="009036CE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requires the public preregistration</w:t>
      </w:r>
      <w:r w:rsidR="009036CE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of certain clinical trials</w:t>
      </w:r>
      <w:r w:rsidR="009036CE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involving human participants</w:t>
      </w:r>
      <w:r w:rsidR="009036CE">
        <w:rPr>
          <w:rFonts w:asciiTheme="minorHAnsi" w:hAnsiTheme="minorHAnsi" w:cstheme="minorHAnsi"/>
        </w:rPr>
        <w:t xml:space="preserve">. </w:t>
      </w:r>
      <w:r w:rsidRPr="0006306F">
        <w:rPr>
          <w:rFonts w:asciiTheme="minorHAnsi" w:hAnsiTheme="minorHAnsi" w:cstheme="minorHAnsi"/>
        </w:rPr>
        <w:t>Also, since 2005, the International</w:t>
      </w:r>
      <w:r w:rsidR="009036CE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Committee of Medical</w:t>
      </w:r>
      <w:r w:rsidR="009036CE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Journal Editors has required</w:t>
      </w:r>
      <w:r w:rsidR="009036CE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the open preregistration</w:t>
      </w:r>
      <w:r w:rsidR="009036CE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of clinical trials for research</w:t>
      </w:r>
      <w:r w:rsidR="009036CE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to be considered for publication.</w:t>
      </w:r>
    </w:p>
    <w:p w14:paraId="5D824A3F" w14:textId="3A28EE25" w:rsidR="0006306F" w:rsidRPr="0006306F" w:rsidRDefault="0006306F" w:rsidP="009036CE">
      <w:pPr>
        <w:rPr>
          <w:rFonts w:asciiTheme="minorHAnsi" w:hAnsiTheme="minorHAnsi" w:cstheme="minorHAnsi"/>
        </w:rPr>
      </w:pPr>
      <w:r w:rsidRPr="0006306F">
        <w:rPr>
          <w:rFonts w:asciiTheme="minorHAnsi" w:hAnsiTheme="minorHAnsi" w:cstheme="minorHAnsi"/>
        </w:rPr>
        <w:t>Under most national, funder,</w:t>
      </w:r>
      <w:r w:rsidR="009036CE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and published requirements, trials</w:t>
      </w:r>
      <w:r w:rsidR="009036CE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must have been registered</w:t>
      </w:r>
      <w:r w:rsidR="009036CE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in a publicly accessible registry</w:t>
      </w:r>
      <w:r w:rsidR="009036CE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before the enrolment</w:t>
      </w:r>
      <w:r w:rsidR="009036CE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of the first participant.</w:t>
      </w:r>
    </w:p>
    <w:p w14:paraId="33D48A58" w14:textId="19418E72" w:rsidR="0006306F" w:rsidRPr="0006306F" w:rsidRDefault="0006306F" w:rsidP="009036CE">
      <w:pPr>
        <w:rPr>
          <w:rFonts w:asciiTheme="minorHAnsi" w:hAnsiTheme="minorHAnsi" w:cstheme="minorHAnsi"/>
        </w:rPr>
      </w:pPr>
      <w:r w:rsidRPr="0006306F">
        <w:rPr>
          <w:rFonts w:asciiTheme="minorHAnsi" w:hAnsiTheme="minorHAnsi" w:cstheme="minorHAnsi"/>
        </w:rPr>
        <w:t>For this reason, it's best to</w:t>
      </w:r>
      <w:r w:rsidR="009036CE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complete preregistration</w:t>
      </w:r>
      <w:r w:rsidR="009036CE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at least two months before</w:t>
      </w:r>
      <w:r w:rsidR="009036CE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recruiting your first participants,</w:t>
      </w:r>
      <w:r w:rsidR="009036CE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as this process can take some time.</w:t>
      </w:r>
    </w:p>
    <w:p w14:paraId="18A6A3CC" w14:textId="77777777" w:rsidR="007825E0" w:rsidRDefault="0006306F" w:rsidP="007825E0">
      <w:pPr>
        <w:rPr>
          <w:rFonts w:asciiTheme="minorHAnsi" w:hAnsiTheme="minorHAnsi" w:cstheme="minorHAnsi"/>
        </w:rPr>
      </w:pPr>
      <w:r w:rsidRPr="0006306F">
        <w:rPr>
          <w:rFonts w:asciiTheme="minorHAnsi" w:hAnsiTheme="minorHAnsi" w:cstheme="minorHAnsi"/>
        </w:rPr>
        <w:t>It's also worth noting that</w:t>
      </w:r>
      <w:r w:rsidR="007825E0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the ultimate responsibility</w:t>
      </w:r>
      <w:r w:rsidR="007825E0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for preregistration falls</w:t>
      </w:r>
      <w:r w:rsidR="007825E0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on the clinical trial's sponsor.</w:t>
      </w:r>
      <w:r w:rsidR="007825E0">
        <w:rPr>
          <w:rFonts w:asciiTheme="minorHAnsi" w:hAnsiTheme="minorHAnsi" w:cstheme="minorHAnsi"/>
        </w:rPr>
        <w:t xml:space="preserve"> </w:t>
      </w:r>
    </w:p>
    <w:p w14:paraId="3A557522" w14:textId="174510E2" w:rsidR="0006306F" w:rsidRPr="0006306F" w:rsidRDefault="0006306F" w:rsidP="007825E0">
      <w:pPr>
        <w:rPr>
          <w:rFonts w:asciiTheme="minorHAnsi" w:hAnsiTheme="minorHAnsi" w:cstheme="minorHAnsi"/>
        </w:rPr>
      </w:pPr>
      <w:r w:rsidRPr="0006306F">
        <w:rPr>
          <w:rFonts w:asciiTheme="minorHAnsi" w:hAnsiTheme="minorHAnsi" w:cstheme="minorHAnsi"/>
        </w:rPr>
        <w:t>By registering clinical trials,</w:t>
      </w:r>
      <w:r w:rsidR="007825E0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we can avoid the unnecessary</w:t>
      </w:r>
      <w:r w:rsidR="007825E0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duplication of research,</w:t>
      </w:r>
      <w:r w:rsidR="007825E0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and in this case avoid</w:t>
      </w:r>
      <w:r w:rsidR="007825E0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unnecessary risk.</w:t>
      </w:r>
    </w:p>
    <w:p w14:paraId="4D1D4DF7" w14:textId="2186898E" w:rsidR="0006306F" w:rsidRPr="0006306F" w:rsidRDefault="0006306F" w:rsidP="007825E0">
      <w:pPr>
        <w:rPr>
          <w:rFonts w:asciiTheme="minorHAnsi" w:hAnsiTheme="minorHAnsi" w:cstheme="minorHAnsi"/>
        </w:rPr>
      </w:pPr>
      <w:r w:rsidRPr="0006306F">
        <w:rPr>
          <w:rFonts w:asciiTheme="minorHAnsi" w:hAnsiTheme="minorHAnsi" w:cstheme="minorHAnsi"/>
        </w:rPr>
        <w:t>Preregistration also makes</w:t>
      </w:r>
      <w:r w:rsidR="007825E0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trial details available</w:t>
      </w:r>
      <w:r w:rsidR="007825E0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to prospective participants</w:t>
      </w:r>
      <w:r w:rsidR="007825E0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so they can be fully informed</w:t>
      </w:r>
      <w:r w:rsidR="007825E0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of how their participation</w:t>
      </w:r>
      <w:r w:rsidR="007825E0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and resultant data will be used.</w:t>
      </w:r>
    </w:p>
    <w:p w14:paraId="75D4D4D8" w14:textId="77777777" w:rsidR="007825E0" w:rsidRDefault="007825E0" w:rsidP="007825E0">
      <w:pPr>
        <w:rPr>
          <w:rFonts w:asciiTheme="minorHAnsi" w:hAnsiTheme="minorHAnsi" w:cstheme="minorHAnsi"/>
        </w:rPr>
      </w:pPr>
    </w:p>
    <w:p w14:paraId="03E15884" w14:textId="3BF989C9" w:rsidR="007825E0" w:rsidRDefault="007825E0" w:rsidP="007825E0">
      <w:pPr>
        <w:pStyle w:val="Heading1"/>
      </w:pPr>
      <w:r>
        <w:t>Clinical Trial Registries</w:t>
      </w:r>
    </w:p>
    <w:p w14:paraId="68CC733F" w14:textId="2302CB1E" w:rsidR="0006306F" w:rsidRPr="0006306F" w:rsidRDefault="0006306F" w:rsidP="00032C77">
      <w:pPr>
        <w:rPr>
          <w:rFonts w:asciiTheme="minorHAnsi" w:hAnsiTheme="minorHAnsi" w:cstheme="minorHAnsi"/>
        </w:rPr>
      </w:pPr>
      <w:r w:rsidRPr="0006306F">
        <w:rPr>
          <w:rFonts w:asciiTheme="minorHAnsi" w:hAnsiTheme="minorHAnsi" w:cstheme="minorHAnsi"/>
        </w:rPr>
        <w:t>Australia's primary clinical trials</w:t>
      </w:r>
      <w:r w:rsidR="007825E0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registry</w:t>
      </w:r>
      <w:r w:rsidR="00032C77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is the Australian New Zealand</w:t>
      </w:r>
      <w:r w:rsidR="00032C77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Clinical Trials Registry (ANZCTR),</w:t>
      </w:r>
      <w:r w:rsidR="00032C77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which you can find out</w:t>
      </w:r>
      <w:r w:rsidR="00032C77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more about on the Australian</w:t>
      </w:r>
      <w:r w:rsidR="00032C77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Clinical Trials website.</w:t>
      </w:r>
      <w:r w:rsidR="00032C77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ANZCTR feeds into the World Health</w:t>
      </w:r>
      <w:r w:rsidR="00032C77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Organisation's</w:t>
      </w:r>
      <w:r w:rsidR="00032C77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International Clinical Trials</w:t>
      </w:r>
      <w:r w:rsidR="00032C77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Registry Platform,</w:t>
      </w:r>
      <w:r w:rsidR="00032C77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which brings together</w:t>
      </w:r>
      <w:r w:rsidR="00032C77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records from many registries.</w:t>
      </w:r>
    </w:p>
    <w:p w14:paraId="24711E11" w14:textId="06CB2E75" w:rsidR="007F61AB" w:rsidRPr="005E74C8" w:rsidRDefault="0006306F" w:rsidP="009307FA">
      <w:pPr>
        <w:rPr>
          <w:rFonts w:asciiTheme="minorHAnsi" w:hAnsiTheme="minorHAnsi" w:cstheme="minorHAnsi"/>
        </w:rPr>
      </w:pPr>
      <w:r w:rsidRPr="0006306F">
        <w:rPr>
          <w:rFonts w:asciiTheme="minorHAnsi" w:hAnsiTheme="minorHAnsi" w:cstheme="minorHAnsi"/>
        </w:rPr>
        <w:t>Another prominent</w:t>
      </w:r>
      <w:r w:rsidR="00032C77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clinical trials registry you may</w:t>
      </w:r>
      <w:r w:rsidR="00032C77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encounter is ClinicalTrials.gov,</w:t>
      </w:r>
      <w:r w:rsidR="00032C77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which is operated by the US</w:t>
      </w:r>
      <w:r w:rsidR="00032C77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 xml:space="preserve">National Library of </w:t>
      </w:r>
      <w:proofErr w:type="gramStart"/>
      <w:r w:rsidRPr="0006306F">
        <w:rPr>
          <w:rFonts w:asciiTheme="minorHAnsi" w:hAnsiTheme="minorHAnsi" w:cstheme="minorHAnsi"/>
        </w:rPr>
        <w:t>Medicine,</w:t>
      </w:r>
      <w:r w:rsidR="00032C77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but</w:t>
      </w:r>
      <w:proofErr w:type="gramEnd"/>
      <w:r w:rsidRPr="0006306F">
        <w:rPr>
          <w:rFonts w:asciiTheme="minorHAnsi" w:hAnsiTheme="minorHAnsi" w:cstheme="minorHAnsi"/>
        </w:rPr>
        <w:t xml:space="preserve"> has records for studies</w:t>
      </w:r>
      <w:r w:rsidR="00032C77">
        <w:rPr>
          <w:rFonts w:asciiTheme="minorHAnsi" w:hAnsiTheme="minorHAnsi" w:cstheme="minorHAnsi"/>
        </w:rPr>
        <w:t xml:space="preserve"> </w:t>
      </w:r>
      <w:r w:rsidRPr="0006306F">
        <w:rPr>
          <w:rFonts w:asciiTheme="minorHAnsi" w:hAnsiTheme="minorHAnsi" w:cstheme="minorHAnsi"/>
        </w:rPr>
        <w:t>around the world.</w:t>
      </w:r>
    </w:p>
    <w:p w14:paraId="7A4A536B" w14:textId="77777777" w:rsidR="009307FA" w:rsidRDefault="009307FA" w:rsidP="009307FA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07B65EEA" w14:textId="77777777" w:rsidR="009307FA" w:rsidRDefault="009307FA" w:rsidP="00EC63AA">
      <w:pPr>
        <w:rPr>
          <w:rFonts w:asciiTheme="minorHAnsi" w:hAnsiTheme="minorHAnsi" w:cstheme="minorHAnsi"/>
        </w:rPr>
      </w:pPr>
    </w:p>
    <w:p w14:paraId="68F9FD32" w14:textId="048BF158" w:rsidR="003C17CC" w:rsidRDefault="00433F4D" w:rsidP="00EC63AA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If you'd like to find out more about</w:t>
      </w:r>
      <w:r w:rsidR="00576184">
        <w:rPr>
          <w:rFonts w:asciiTheme="minorHAnsi" w:hAnsiTheme="minorHAnsi" w:cstheme="minorHAnsi"/>
        </w:rPr>
        <w:t xml:space="preserve"> </w:t>
      </w:r>
      <w:r w:rsidR="00554599">
        <w:rPr>
          <w:rFonts w:asciiTheme="minorHAnsi" w:hAnsiTheme="minorHAnsi" w:cstheme="minorHAnsi"/>
        </w:rPr>
        <w:t>this topic</w:t>
      </w:r>
      <w:r w:rsidRPr="00433F4D">
        <w:rPr>
          <w:rFonts w:asciiTheme="minorHAnsi" w:hAnsiTheme="minorHAnsi" w:cstheme="minorHAnsi"/>
        </w:rPr>
        <w:t>,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 xml:space="preserve">you can visit our </w:t>
      </w:r>
      <w:hyperlink r:id="rId9" w:history="1">
        <w:r w:rsidRPr="00576184">
          <w:rPr>
            <w:rStyle w:val="Hyperlink"/>
            <w:rFonts w:asciiTheme="minorHAnsi" w:hAnsiTheme="minorHAnsi" w:cstheme="minorHAnsi"/>
          </w:rPr>
          <w:t>Open Research guide</w:t>
        </w:r>
      </w:hyperlink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 xml:space="preserve">or </w:t>
      </w:r>
      <w:hyperlink r:id="rId10" w:history="1">
        <w:r w:rsidRPr="00576184">
          <w:rPr>
            <w:rStyle w:val="Hyperlink"/>
            <w:rFonts w:asciiTheme="minorHAnsi" w:hAnsiTheme="minorHAnsi" w:cstheme="minorHAnsi"/>
          </w:rPr>
          <w:t>Open Scholarship website</w:t>
        </w:r>
      </w:hyperlink>
      <w:r w:rsidRPr="00433F4D">
        <w:rPr>
          <w:rFonts w:asciiTheme="minorHAnsi" w:hAnsiTheme="minorHAnsi" w:cstheme="minorHAnsi"/>
        </w:rPr>
        <w:t>.</w:t>
      </w:r>
    </w:p>
    <w:p w14:paraId="2AD852E7" w14:textId="77777777" w:rsidR="006D36C4" w:rsidRDefault="006D36C4" w:rsidP="00F002BE">
      <w:pPr>
        <w:rPr>
          <w:rFonts w:asciiTheme="minorHAnsi" w:hAnsiTheme="minorHAnsi" w:cstheme="minorHAnsi"/>
        </w:rPr>
      </w:pPr>
    </w:p>
    <w:p w14:paraId="52D9A21B" w14:textId="77777777" w:rsidR="008A66A8" w:rsidRPr="008A66A8" w:rsidRDefault="008A66A8" w:rsidP="008A66A8">
      <w:pPr>
        <w:pStyle w:val="Heading1"/>
      </w:pPr>
      <w:r w:rsidRPr="008A66A8">
        <w:t>Contact a librarian</w:t>
      </w:r>
    </w:p>
    <w:p w14:paraId="022CCD97" w14:textId="77777777" w:rsidR="008A66A8" w:rsidRPr="008A66A8" w:rsidRDefault="008A66A8" w:rsidP="008A66A8">
      <w:pPr>
        <w:rPr>
          <w:rFonts w:asciiTheme="minorHAnsi" w:hAnsiTheme="minorHAnsi" w:cstheme="minorHAnsi"/>
        </w:rPr>
      </w:pPr>
      <w:r w:rsidRPr="008A66A8">
        <w:rPr>
          <w:rFonts w:asciiTheme="minorHAnsi" w:hAnsiTheme="minorHAnsi" w:cstheme="minorHAnsi"/>
        </w:rPr>
        <w:t>For enquiries relating to open scholarship, including open access, open research, and open educational resources (OERs), please email your discipline's </w:t>
      </w:r>
      <w:hyperlink r:id="rId11" w:history="1">
        <w:r w:rsidRPr="008A66A8">
          <w:rPr>
            <w:rStyle w:val="Hyperlink"/>
            <w:rFonts w:asciiTheme="minorHAnsi" w:hAnsiTheme="minorHAnsi" w:cstheme="minorHAnsi"/>
          </w:rPr>
          <w:t>Liaison Librarians</w:t>
        </w:r>
      </w:hyperlink>
      <w:r w:rsidRPr="008A66A8">
        <w:rPr>
          <w:rFonts w:asciiTheme="minorHAnsi" w:hAnsiTheme="minorHAnsi" w:cstheme="minorHAnsi"/>
        </w:rPr>
        <w:t>, or arrange a time to </w:t>
      </w:r>
      <w:hyperlink r:id="rId12" w:history="1">
        <w:r w:rsidRPr="008A66A8">
          <w:rPr>
            <w:rStyle w:val="Hyperlink"/>
            <w:rFonts w:asciiTheme="minorHAnsi" w:hAnsiTheme="minorHAnsi" w:cstheme="minorHAnsi"/>
          </w:rPr>
          <w:t>consult a librarian</w:t>
        </w:r>
      </w:hyperlink>
      <w:r w:rsidRPr="008A66A8">
        <w:rPr>
          <w:rFonts w:asciiTheme="minorHAnsi" w:hAnsiTheme="minorHAnsi" w:cstheme="minorHAnsi"/>
        </w:rPr>
        <w:t>.</w:t>
      </w:r>
    </w:p>
    <w:p w14:paraId="0BD7BCED" w14:textId="77777777" w:rsidR="008A66A8" w:rsidRPr="008A66A8" w:rsidRDefault="008A66A8" w:rsidP="008A66A8">
      <w:pPr>
        <w:rPr>
          <w:rFonts w:asciiTheme="minorHAnsi" w:hAnsiTheme="minorHAnsi" w:cstheme="minorHAnsi"/>
        </w:rPr>
      </w:pPr>
      <w:r w:rsidRPr="008A66A8">
        <w:rPr>
          <w:rFonts w:asciiTheme="minorHAnsi" w:hAnsiTheme="minorHAnsi" w:cstheme="minorHAnsi"/>
        </w:rPr>
        <w:t>Alternatively, you can </w:t>
      </w:r>
      <w:hyperlink r:id="rId13" w:history="1">
        <w:r w:rsidRPr="008A66A8">
          <w:rPr>
            <w:rStyle w:val="Hyperlink"/>
            <w:rFonts w:asciiTheme="minorHAnsi" w:hAnsiTheme="minorHAnsi" w:cstheme="minorHAnsi"/>
          </w:rPr>
          <w:t>contact the library</w:t>
        </w:r>
      </w:hyperlink>
      <w:r w:rsidRPr="008A66A8">
        <w:rPr>
          <w:rFonts w:asciiTheme="minorHAnsi" w:hAnsiTheme="minorHAnsi" w:cstheme="minorHAnsi"/>
        </w:rPr>
        <w:t> by emailing </w:t>
      </w:r>
      <w:hyperlink r:id="rId14" w:history="1">
        <w:r w:rsidRPr="008A66A8">
          <w:rPr>
            <w:rStyle w:val="Hyperlink"/>
            <w:rFonts w:asciiTheme="minorHAnsi" w:hAnsiTheme="minorHAnsi" w:cstheme="minorHAnsi"/>
          </w:rPr>
          <w:t>library-enquiries@unimelb.edu.au</w:t>
        </w:r>
      </w:hyperlink>
      <w:r w:rsidRPr="008A66A8">
        <w:rPr>
          <w:rFonts w:asciiTheme="minorHAnsi" w:hAnsiTheme="minorHAnsi" w:cstheme="minorHAnsi"/>
        </w:rPr>
        <w:t>.</w:t>
      </w:r>
    </w:p>
    <w:p w14:paraId="3255773B" w14:textId="77777777" w:rsidR="006D36C4" w:rsidRPr="003C17CC" w:rsidRDefault="006D36C4" w:rsidP="00F002BE">
      <w:pPr>
        <w:rPr>
          <w:rFonts w:asciiTheme="minorHAnsi" w:hAnsiTheme="minorHAnsi" w:cstheme="minorHAnsi"/>
        </w:rPr>
      </w:pPr>
    </w:p>
    <w:sectPr w:rsidR="006D36C4" w:rsidRPr="003C17CC" w:rsidSect="009A356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Light">
    <w:altName w:val="Source Sans Pro Light"/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5FC8"/>
    <w:multiLevelType w:val="multilevel"/>
    <w:tmpl w:val="B45A5444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 Light" w:hAnsi="Source Sans Pro Light"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ascii="Source Sans Pro Light" w:hAnsi="Source Sans Pro Light" w:hint="default"/>
      </w:rPr>
    </w:lvl>
    <w:lvl w:ilvl="2">
      <w:start w:val="1"/>
      <w:numFmt w:val="decimal"/>
      <w:pStyle w:val="Heading3"/>
      <w:lvlText w:val="%1.%2.%3."/>
      <w:lvlJc w:val="left"/>
      <w:pPr>
        <w:ind w:left="646" w:hanging="504"/>
      </w:pPr>
      <w:rPr>
        <w:rFonts w:ascii="Source Sans Pro Light" w:hAnsi="Source Sans Pro Light" w:cstheme="majorHAns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78235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669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E6"/>
    <w:rsid w:val="0000521F"/>
    <w:rsid w:val="000145B4"/>
    <w:rsid w:val="00032C77"/>
    <w:rsid w:val="0006306F"/>
    <w:rsid w:val="000753C0"/>
    <w:rsid w:val="00092F96"/>
    <w:rsid w:val="000C4C84"/>
    <w:rsid w:val="000C6A94"/>
    <w:rsid w:val="000D048F"/>
    <w:rsid w:val="000F6FB8"/>
    <w:rsid w:val="00102723"/>
    <w:rsid w:val="00142564"/>
    <w:rsid w:val="00153ED4"/>
    <w:rsid w:val="001C6F02"/>
    <w:rsid w:val="001D2D0E"/>
    <w:rsid w:val="001E679B"/>
    <w:rsid w:val="00212053"/>
    <w:rsid w:val="002424C7"/>
    <w:rsid w:val="002744A9"/>
    <w:rsid w:val="0029693A"/>
    <w:rsid w:val="002A2836"/>
    <w:rsid w:val="00341760"/>
    <w:rsid w:val="003A6F4D"/>
    <w:rsid w:val="003B6DA9"/>
    <w:rsid w:val="003C17CC"/>
    <w:rsid w:val="003E63BD"/>
    <w:rsid w:val="00433F4D"/>
    <w:rsid w:val="00476104"/>
    <w:rsid w:val="004769CE"/>
    <w:rsid w:val="004A7A14"/>
    <w:rsid w:val="00531C62"/>
    <w:rsid w:val="00532E36"/>
    <w:rsid w:val="0054238F"/>
    <w:rsid w:val="00554599"/>
    <w:rsid w:val="00576184"/>
    <w:rsid w:val="00582FE6"/>
    <w:rsid w:val="0058336B"/>
    <w:rsid w:val="005A23A3"/>
    <w:rsid w:val="005B4296"/>
    <w:rsid w:val="005B7A8C"/>
    <w:rsid w:val="005D2EDC"/>
    <w:rsid w:val="005E74C8"/>
    <w:rsid w:val="00600E46"/>
    <w:rsid w:val="00626D0F"/>
    <w:rsid w:val="006669C8"/>
    <w:rsid w:val="006A773C"/>
    <w:rsid w:val="006B2DD4"/>
    <w:rsid w:val="006B52AD"/>
    <w:rsid w:val="006C65E5"/>
    <w:rsid w:val="006D0848"/>
    <w:rsid w:val="006D33AB"/>
    <w:rsid w:val="006D36C4"/>
    <w:rsid w:val="006D4B14"/>
    <w:rsid w:val="00713025"/>
    <w:rsid w:val="007517F9"/>
    <w:rsid w:val="0075388B"/>
    <w:rsid w:val="0076725B"/>
    <w:rsid w:val="0077092A"/>
    <w:rsid w:val="007825E0"/>
    <w:rsid w:val="0078735F"/>
    <w:rsid w:val="007D4C6D"/>
    <w:rsid w:val="007D5E1D"/>
    <w:rsid w:val="007F612E"/>
    <w:rsid w:val="007F61AB"/>
    <w:rsid w:val="00857868"/>
    <w:rsid w:val="00881A21"/>
    <w:rsid w:val="008A6623"/>
    <w:rsid w:val="008A66A8"/>
    <w:rsid w:val="009036CE"/>
    <w:rsid w:val="00907EE8"/>
    <w:rsid w:val="009117F0"/>
    <w:rsid w:val="009307FA"/>
    <w:rsid w:val="00970CBD"/>
    <w:rsid w:val="009A28D6"/>
    <w:rsid w:val="009A3566"/>
    <w:rsid w:val="00A21B19"/>
    <w:rsid w:val="00A22436"/>
    <w:rsid w:val="00A311EA"/>
    <w:rsid w:val="00A51016"/>
    <w:rsid w:val="00A84989"/>
    <w:rsid w:val="00A90409"/>
    <w:rsid w:val="00A93BCE"/>
    <w:rsid w:val="00B020A2"/>
    <w:rsid w:val="00B34640"/>
    <w:rsid w:val="00B34E5F"/>
    <w:rsid w:val="00B417A0"/>
    <w:rsid w:val="00B504C9"/>
    <w:rsid w:val="00B54F86"/>
    <w:rsid w:val="00B95EAD"/>
    <w:rsid w:val="00BB3DE1"/>
    <w:rsid w:val="00C277D5"/>
    <w:rsid w:val="00C37617"/>
    <w:rsid w:val="00C627B3"/>
    <w:rsid w:val="00C62D82"/>
    <w:rsid w:val="00C715B7"/>
    <w:rsid w:val="00CB5219"/>
    <w:rsid w:val="00CC5360"/>
    <w:rsid w:val="00CE3767"/>
    <w:rsid w:val="00CE70C2"/>
    <w:rsid w:val="00D07A30"/>
    <w:rsid w:val="00D90CA3"/>
    <w:rsid w:val="00DC4BB2"/>
    <w:rsid w:val="00DC5D49"/>
    <w:rsid w:val="00DE2ED5"/>
    <w:rsid w:val="00E17A5C"/>
    <w:rsid w:val="00EC63AA"/>
    <w:rsid w:val="00ED19E8"/>
    <w:rsid w:val="00F002BE"/>
    <w:rsid w:val="00F0035A"/>
    <w:rsid w:val="00F06788"/>
    <w:rsid w:val="00F50D83"/>
    <w:rsid w:val="00F52360"/>
    <w:rsid w:val="00F53006"/>
    <w:rsid w:val="00F61F1E"/>
    <w:rsid w:val="00FB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AEA9"/>
  <w15:chartTrackingRefBased/>
  <w15:docId w15:val="{730CA956-BFC8-4682-A9B4-21FDEC2D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FE6"/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564"/>
    <w:pPr>
      <w:keepNext/>
      <w:outlineLvl w:val="0"/>
    </w:pPr>
    <w:rPr>
      <w:rFonts w:asciiTheme="minorHAnsi" w:eastAsia="Calibri" w:hAnsiTheme="minorHAnsi" w:cstheme="minorHAns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FE6"/>
    <w:pPr>
      <w:keepNext/>
      <w:keepLines/>
      <w:numPr>
        <w:ilvl w:val="1"/>
        <w:numId w:val="1"/>
      </w:numPr>
      <w:spacing w:before="240" w:after="120" w:line="276" w:lineRule="auto"/>
      <w:outlineLvl w:val="1"/>
    </w:pPr>
    <w:rPr>
      <w:rFonts w:ascii="Source Sans Pro Light" w:eastAsiaTheme="majorEastAsia" w:hAnsi="Source Sans Pro Light" w:cstheme="majorBidi"/>
      <w:color w:val="2F5496" w:themeColor="accent1" w:themeShade="BF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FE6"/>
    <w:pPr>
      <w:keepNext/>
      <w:keepLines/>
      <w:numPr>
        <w:ilvl w:val="2"/>
        <w:numId w:val="1"/>
      </w:numPr>
      <w:spacing w:before="240" w:after="120" w:line="276" w:lineRule="auto"/>
      <w:ind w:left="851" w:hanging="709"/>
      <w:outlineLvl w:val="2"/>
    </w:pPr>
    <w:rPr>
      <w:rFonts w:ascii="Source Sans Pro Light" w:eastAsiaTheme="majorEastAsia" w:hAnsi="Source Sans Pro Light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2FE6"/>
    <w:rPr>
      <w:rFonts w:ascii="Source Sans Pro Light" w:eastAsiaTheme="majorEastAsia" w:hAnsi="Source Sans Pro Light" w:cstheme="majorBidi"/>
      <w:color w:val="2F5496" w:themeColor="accent1" w:themeShade="BF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82FE6"/>
    <w:rPr>
      <w:rFonts w:ascii="Source Sans Pro Light" w:eastAsiaTheme="majorEastAsia" w:hAnsi="Source Sans Pro Light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2FE6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82FE6"/>
    <w:pPr>
      <w:spacing w:after="240" w:line="240" w:lineRule="auto"/>
    </w:pPr>
    <w:rPr>
      <w:i/>
      <w:iCs/>
      <w:color w:val="44546A" w:themeColor="text2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2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2FE6"/>
    <w:pPr>
      <w:spacing w:after="12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2FE6"/>
    <w:rPr>
      <w:rFonts w:ascii="Source Sans Pro" w:hAnsi="Source Sans Pr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2564"/>
    <w:rPr>
      <w:rFonts w:eastAsia="Calibr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FE6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82FE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A22436"/>
    <w:pPr>
      <w:spacing w:before="120"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2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ardreadability">
    <w:name w:val="hardreadability"/>
    <w:basedOn w:val="DefaultParagraphFont"/>
    <w:rsid w:val="009A3566"/>
  </w:style>
  <w:style w:type="character" w:customStyle="1" w:styleId="adverb">
    <w:name w:val="adverb"/>
    <w:basedOn w:val="DefaultParagraphFont"/>
    <w:rsid w:val="009A3566"/>
  </w:style>
  <w:style w:type="character" w:customStyle="1" w:styleId="passivevoice">
    <w:name w:val="passivevoice"/>
    <w:basedOn w:val="DefaultParagraphFont"/>
    <w:rsid w:val="009A3566"/>
  </w:style>
  <w:style w:type="character" w:customStyle="1" w:styleId="veryhardreadability">
    <w:name w:val="veryhardreadability"/>
    <w:basedOn w:val="DefaultParagraphFont"/>
    <w:rsid w:val="009A3566"/>
  </w:style>
  <w:style w:type="character" w:customStyle="1" w:styleId="complexword">
    <w:name w:val="complexword"/>
    <w:basedOn w:val="DefaultParagraphFont"/>
    <w:rsid w:val="009A3566"/>
  </w:style>
  <w:style w:type="character" w:styleId="Mention">
    <w:name w:val="Mention"/>
    <w:basedOn w:val="DefaultParagraphFont"/>
    <w:uiPriority w:val="99"/>
    <w:unhideWhenUsed/>
    <w:rsid w:val="00CE3767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753C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97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single" w:sz="24" w:space="3" w:color="D0D0D0"/>
                <w:bottom w:val="none" w:sz="0" w:space="0" w:color="auto"/>
                <w:right w:val="none" w:sz="0" w:space="0" w:color="auto"/>
              </w:divBdr>
              <w:divsChild>
                <w:div w:id="6858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2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single" w:sz="24" w:space="3" w:color="D0D0D0"/>
                <w:bottom w:val="none" w:sz="0" w:space="0" w:color="auto"/>
                <w:right w:val="none" w:sz="0" w:space="0" w:color="auto"/>
              </w:divBdr>
              <w:divsChild>
                <w:div w:id="11788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brary.unimelb.edu.au/contact_the_librar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melb.service-now.com/student?id=sc_cat_item&amp;sys_id=6398b1e1dbc763c00032cae43a961971&amp;category_id=2768ae9d4fae22807861a90f0310c7f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ary.unimelb.edu.au/liais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library.unimelb.edu.au/open-scholarship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unimelb.libguides.com/openresearch/" TargetMode="External"/><Relationship Id="rId14" Type="http://schemas.openxmlformats.org/officeDocument/2006/relationships/hyperlink" Target="mailto:library-enquiries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e3781a75-3d57-4fed-b6ab-2c6f9e83743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FA46296E07041876886D9D6B490F2" ma:contentTypeVersion="15" ma:contentTypeDescription="Create a new document." ma:contentTypeScope="" ma:versionID="3d5128d3a560c4c37b4a54e460fb5222">
  <xsd:schema xmlns:xsd="http://www.w3.org/2001/XMLSchema" xmlns:xs="http://www.w3.org/2001/XMLSchema" xmlns:p="http://schemas.microsoft.com/office/2006/metadata/properties" xmlns:ns2="e3781a75-3d57-4fed-b6ab-2c6f9e837437" xmlns:ns3="5ddcb866-08d0-4cd8-94ce-71b94ba59f80" xmlns:ns4="f07d8113-1d44-46cb-baa5-a742d0650dfc" targetNamespace="http://schemas.microsoft.com/office/2006/metadata/properties" ma:root="true" ma:fieldsID="d49db03d242240a97713fc4d879531d7" ns2:_="" ns3:_="" ns4:_="">
    <xsd:import namespace="e3781a75-3d57-4fed-b6ab-2c6f9e837437"/>
    <xsd:import namespace="5ddcb866-08d0-4cd8-94ce-71b94ba59f80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81a75-3d57-4fed-b6ab-2c6f9e837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b866-08d0-4cd8-94ce-71b94ba59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6cca62c-15f1-4e9b-a9e9-6ba853135adc}" ma:internalName="TaxCatchAll" ma:showField="CatchAllData" ma:web="5ddcb866-08d0-4cd8-94ce-71b94ba59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2AD4-208D-4D6F-80E6-A19DFB2BE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EE2EF-F28E-478C-B87D-4CB7E94D5A5D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9dfb9497-9389-4623-9397-029ef8769e4c"/>
    <ds:schemaRef ds:uri="e3781a75-3d57-4fed-b6ab-2c6f9e837437"/>
  </ds:schemaRefs>
</ds:datastoreItem>
</file>

<file path=customXml/itemProps3.xml><?xml version="1.0" encoding="utf-8"?>
<ds:datastoreItem xmlns:ds="http://schemas.openxmlformats.org/officeDocument/2006/customXml" ds:itemID="{B58FB419-1FF3-4C0A-8E87-6A8B8F308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81a75-3d57-4fed-b6ab-2c6f9e837437"/>
    <ds:schemaRef ds:uri="5ddcb866-08d0-4cd8-94ce-71b94ba59f80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DEC969-F70C-4393-B475-0E0FF453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424</Words>
  <Characters>2420</Characters>
  <Application>Microsoft Office Word</Application>
  <DocSecurity>0</DocSecurity>
  <Lines>20</Lines>
  <Paragraphs>5</Paragraphs>
  <ScaleCrop>false</ScaleCrop>
  <Company>The University of Melbourne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Kendal</dc:creator>
  <cp:keywords/>
  <dc:description/>
  <cp:lastModifiedBy>Zachary Kendal</cp:lastModifiedBy>
  <cp:revision>11</cp:revision>
  <dcterms:created xsi:type="dcterms:W3CDTF">2023-02-06T02:18:00Z</dcterms:created>
  <dcterms:modified xsi:type="dcterms:W3CDTF">2023-02-06T03:05:00Z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0x01010082D924FBF156194B87EA9A18166630A0</vt:lpwstr>
  </property>
  <property fmtid="{D5CDD505-2E9C-101B-9397-08002B2CF9AE}" pid="3" name="MediaServiceImageTags">
    <vt:lpwstr/>
  </property>
</Properties>
</file>